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p>
    <w:p>
      <w:pPr>
        <w:keepNext w:val="0"/>
        <w:keepLines w:val="0"/>
        <w:pageBreakBefore w:val="0"/>
        <w:widowControl w:val="0"/>
        <w:kinsoku/>
        <w:wordWrap/>
        <w:overflowPunct/>
        <w:topLinePunct w:val="0"/>
        <w:autoSpaceDE/>
        <w:autoSpaceDN/>
        <w:bidi w:val="0"/>
        <w:adjustRightInd/>
        <w:snapToGrid/>
        <w:spacing w:line="600" w:lineRule="exact"/>
        <w:ind w:right="640"/>
        <w:jc w:val="center"/>
        <w:textAlignment w:val="auto"/>
        <w:outlineLvl w:val="9"/>
        <w:rPr>
          <w:rFonts w:hint="eastAsia" w:ascii="黑体" w:hAnsi="黑体" w:eastAsia="黑体" w:cs="黑体"/>
          <w:sz w:val="32"/>
          <w:szCs w:val="32"/>
          <w:lang w:eastAsia="zh-CN"/>
        </w:rPr>
      </w:pPr>
      <w:r>
        <w:rPr>
          <w:rFonts w:hint="eastAsia" w:ascii="方正小标宋_GBK" w:eastAsia="方正小标宋_GBK"/>
          <w:sz w:val="44"/>
          <w:szCs w:val="44"/>
          <w:lang w:eastAsia="zh-CN"/>
        </w:rPr>
        <w:t>市财政局</w:t>
      </w:r>
      <w:r>
        <w:rPr>
          <w:rFonts w:hint="eastAsia" w:ascii="方正小标宋_GBK" w:eastAsia="方正小标宋_GBK"/>
          <w:sz w:val="44"/>
          <w:szCs w:val="44"/>
        </w:rPr>
        <w:t>清单即时动态调整情况表</w:t>
      </w:r>
    </w:p>
    <w:tbl>
      <w:tblPr>
        <w:tblStyle w:val="3"/>
        <w:tblW w:w="14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09"/>
        <w:gridCol w:w="891"/>
        <w:gridCol w:w="640"/>
        <w:gridCol w:w="5984"/>
        <w:gridCol w:w="2385"/>
        <w:gridCol w:w="219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588"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序号</w:t>
            </w:r>
          </w:p>
        </w:tc>
        <w:tc>
          <w:tcPr>
            <w:tcW w:w="709"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lang w:eastAsia="zh-CN"/>
              </w:rPr>
              <w:t>事项</w:t>
            </w:r>
            <w:r>
              <w:rPr>
                <w:rFonts w:hint="eastAsia" w:ascii="宋体" w:hAnsi="宋体" w:eastAsia="方正黑体_GBK" w:cs="宋体"/>
                <w:color w:val="000000"/>
                <w:kern w:val="0"/>
                <w:sz w:val="24"/>
                <w:szCs w:val="24"/>
              </w:rPr>
              <w:t>类型</w:t>
            </w:r>
          </w:p>
        </w:tc>
        <w:tc>
          <w:tcPr>
            <w:tcW w:w="891"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lang w:eastAsia="zh-CN"/>
              </w:rPr>
              <w:t>事项</w:t>
            </w:r>
            <w:r>
              <w:rPr>
                <w:rFonts w:ascii="宋体" w:hAnsi="宋体" w:eastAsia="方正黑体_GBK" w:cs="宋体"/>
                <w:color w:val="000000"/>
                <w:kern w:val="0"/>
                <w:sz w:val="24"/>
                <w:szCs w:val="24"/>
              </w:rPr>
              <w:br w:type="textWrapping"/>
            </w:r>
            <w:r>
              <w:rPr>
                <w:rFonts w:hint="eastAsia" w:ascii="宋体" w:hAnsi="宋体" w:eastAsia="方正黑体_GBK" w:cs="宋体"/>
                <w:color w:val="000000"/>
                <w:kern w:val="0"/>
                <w:sz w:val="24"/>
                <w:szCs w:val="24"/>
              </w:rPr>
              <w:t>名称</w:t>
            </w:r>
          </w:p>
        </w:tc>
        <w:tc>
          <w:tcPr>
            <w:tcW w:w="640"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子项</w:t>
            </w:r>
          </w:p>
        </w:tc>
        <w:tc>
          <w:tcPr>
            <w:tcW w:w="5984"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实</w:t>
            </w:r>
            <w:r>
              <w:rPr>
                <w:rFonts w:ascii="方正黑体_GBK" w:eastAsia="方正黑体_GBK"/>
                <w:color w:val="000000"/>
                <w:kern w:val="0"/>
                <w:sz w:val="24"/>
                <w:szCs w:val="24"/>
              </w:rPr>
              <w:t xml:space="preserve">  </w:t>
            </w:r>
            <w:r>
              <w:rPr>
                <w:rFonts w:hint="eastAsia" w:ascii="方正黑体_GBK" w:hAnsi="宋体" w:eastAsia="方正黑体_GBK" w:cs="宋体"/>
                <w:color w:val="000000"/>
                <w:kern w:val="0"/>
                <w:sz w:val="24"/>
                <w:szCs w:val="24"/>
              </w:rPr>
              <w:t>施</w:t>
            </w:r>
            <w:r>
              <w:rPr>
                <w:rFonts w:ascii="方正黑体_GBK" w:eastAsia="方正黑体_GBK"/>
                <w:color w:val="000000"/>
                <w:kern w:val="0"/>
                <w:sz w:val="24"/>
                <w:szCs w:val="24"/>
              </w:rPr>
              <w:t xml:space="preserve">  </w:t>
            </w:r>
            <w:r>
              <w:rPr>
                <w:rFonts w:hint="eastAsia" w:ascii="方正黑体_GBK" w:hAnsi="宋体" w:eastAsia="方正黑体_GBK" w:cs="宋体"/>
                <w:color w:val="000000"/>
                <w:kern w:val="0"/>
                <w:sz w:val="24"/>
                <w:szCs w:val="24"/>
              </w:rPr>
              <w:t>依</w:t>
            </w:r>
            <w:r>
              <w:rPr>
                <w:rFonts w:ascii="方正黑体_GBK" w:eastAsia="方正黑体_GBK"/>
                <w:color w:val="000000"/>
                <w:kern w:val="0"/>
                <w:sz w:val="24"/>
                <w:szCs w:val="24"/>
              </w:rPr>
              <w:t xml:space="preserve">  </w:t>
            </w:r>
            <w:r>
              <w:rPr>
                <w:rFonts w:hint="eastAsia" w:ascii="方正黑体_GBK" w:hAnsi="宋体" w:eastAsia="方正黑体_GBK" w:cs="宋体"/>
                <w:color w:val="000000"/>
                <w:kern w:val="0"/>
                <w:sz w:val="24"/>
                <w:szCs w:val="24"/>
              </w:rPr>
              <w:t>据</w:t>
            </w:r>
          </w:p>
        </w:tc>
        <w:tc>
          <w:tcPr>
            <w:tcW w:w="2385"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调整</w:t>
            </w:r>
          </w:p>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宋体" w:hAnsi="宋体" w:eastAsia="方正黑体_GBK" w:cs="宋体"/>
                <w:color w:val="000000"/>
                <w:kern w:val="0"/>
                <w:sz w:val="24"/>
                <w:szCs w:val="24"/>
              </w:rPr>
            </w:pPr>
            <w:r>
              <w:rPr>
                <w:rFonts w:hint="eastAsia" w:ascii="宋体" w:hAnsi="宋体" w:eastAsia="方正黑体_GBK" w:cs="宋体"/>
                <w:color w:val="000000"/>
                <w:kern w:val="0"/>
                <w:sz w:val="24"/>
                <w:szCs w:val="24"/>
              </w:rPr>
              <w:t>类型</w:t>
            </w:r>
          </w:p>
        </w:tc>
        <w:tc>
          <w:tcPr>
            <w:tcW w:w="2191"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调整意见及理由</w:t>
            </w:r>
          </w:p>
        </w:tc>
        <w:tc>
          <w:tcPr>
            <w:tcW w:w="704"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eastAsia="方正黑体_GBK" w:cs="宋体"/>
                <w:color w:val="000000"/>
                <w:kern w:val="0"/>
                <w:sz w:val="24"/>
                <w:szCs w:val="24"/>
              </w:rPr>
            </w:pPr>
            <w:r>
              <w:rPr>
                <w:rFonts w:hint="eastAsia" w:eastAsia="方正黑体_GBK"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0" w:hRule="atLeast"/>
        </w:trPr>
        <w:tc>
          <w:tcPr>
            <w:tcW w:w="588" w:type="dxa"/>
            <w:noWrap w:val="0"/>
            <w:vAlign w:val="center"/>
          </w:tcPr>
          <w:p>
            <w:pPr>
              <w:keepNext w:val="0"/>
              <w:keepLines/>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w:t>
            </w:r>
          </w:p>
        </w:tc>
        <w:tc>
          <w:tcPr>
            <w:tcW w:w="709" w:type="dxa"/>
            <w:noWrap w:val="0"/>
            <w:vAlign w:val="center"/>
          </w:tcPr>
          <w:p>
            <w:pPr>
              <w:widowControl/>
              <w:spacing w:line="240" w:lineRule="exact"/>
              <w:jc w:val="center"/>
              <w:textAlignment w:val="baseline"/>
              <w:rPr>
                <w:rFonts w:hint="default" w:ascii="Times New Roman" w:hAnsi="Times New Roman" w:cs="Times New Roman" w:eastAsiaTheme="minorEastAsia"/>
                <w:color w:val="000000"/>
                <w:kern w:val="0"/>
                <w:sz w:val="18"/>
                <w:szCs w:val="18"/>
                <w:lang w:eastAsia="zh-CN"/>
              </w:rPr>
            </w:pPr>
            <w:r>
              <w:rPr>
                <w:rStyle w:val="4"/>
                <w:rFonts w:hint="eastAsia" w:ascii="Times New Roman" w:hAnsi="Times New Roman" w:cs="Times New Roman"/>
                <w:color w:val="auto"/>
                <w:kern w:val="0"/>
                <w:sz w:val="18"/>
                <w:szCs w:val="18"/>
                <w:highlight w:val="none"/>
                <w:lang w:val="en-US" w:eastAsia="zh-CN" w:bidi="ar-SA"/>
              </w:rPr>
              <w:t>公共服务</w:t>
            </w:r>
          </w:p>
        </w:tc>
        <w:tc>
          <w:tcPr>
            <w:tcW w:w="891" w:type="dxa"/>
            <w:noWrap w:val="0"/>
            <w:vAlign w:val="center"/>
          </w:tcPr>
          <w:p>
            <w:pPr>
              <w:widowControl/>
              <w:spacing w:line="240" w:lineRule="exact"/>
              <w:jc w:val="center"/>
              <w:textAlignment w:val="baseline"/>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eastAsiaTheme="minorEastAsia"/>
                <w:color w:val="000000"/>
                <w:kern w:val="0"/>
                <w:sz w:val="18"/>
                <w:szCs w:val="18"/>
                <w:lang w:eastAsia="zh-CN"/>
              </w:rPr>
              <w:t>代开财政票据</w:t>
            </w:r>
          </w:p>
        </w:tc>
        <w:tc>
          <w:tcPr>
            <w:tcW w:w="640" w:type="dxa"/>
            <w:noWrap w:val="0"/>
            <w:vAlign w:val="center"/>
          </w:tcPr>
          <w:p>
            <w:pPr>
              <w:widowControl/>
              <w:spacing w:line="240" w:lineRule="exact"/>
              <w:jc w:val="center"/>
              <w:textAlignment w:val="baseline"/>
              <w:rPr>
                <w:rFonts w:hint="default" w:ascii="Times New Roman" w:hAnsi="Times New Roman" w:cs="Times New Roman" w:eastAsiaTheme="minorEastAsia"/>
                <w:color w:val="000000"/>
                <w:kern w:val="0"/>
                <w:sz w:val="18"/>
                <w:szCs w:val="18"/>
              </w:rPr>
            </w:pPr>
            <w:r>
              <w:rPr>
                <w:rStyle w:val="4"/>
                <w:rFonts w:hint="default" w:ascii="Times New Roman" w:hAnsi="Times New Roman" w:cs="Times New Roman" w:eastAsiaTheme="minorEastAsia"/>
                <w:color w:val="auto"/>
                <w:kern w:val="0"/>
                <w:sz w:val="18"/>
                <w:szCs w:val="18"/>
                <w:highlight w:val="none"/>
                <w:lang w:val="en-US" w:eastAsia="zh-CN" w:bidi="ar-SA"/>
              </w:rPr>
              <w:t>无</w:t>
            </w:r>
          </w:p>
        </w:tc>
        <w:tc>
          <w:tcPr>
            <w:tcW w:w="5984" w:type="dxa"/>
            <w:noWrap w:val="0"/>
            <w:vAlign w:val="center"/>
          </w:tcPr>
          <w:p>
            <w:pPr>
              <w:widowControl/>
              <w:spacing w:line="240" w:lineRule="exact"/>
              <w:jc w:val="left"/>
              <w:textAlignment w:val="baseline"/>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安徽省财政厅《安徽省级财政票据电子化改革实施方案》（财非税【2014】1968号）第三章第（三）条：财政票据用量少的单位实行省非税局代开票。</w:t>
            </w:r>
          </w:p>
        </w:tc>
        <w:tc>
          <w:tcPr>
            <w:tcW w:w="2385" w:type="dxa"/>
            <w:noWrap w:val="0"/>
            <w:vAlign w:val="center"/>
          </w:tcPr>
          <w:p>
            <w:pPr>
              <w:keepNext w:val="0"/>
              <w:keepLines/>
              <w:pageBreakBefore w:val="0"/>
              <w:widowControl/>
              <w:suppressLineNumbers w:val="0"/>
              <w:shd w:val="clear" w:fill="FFFFFF"/>
              <w:kinsoku/>
              <w:wordWrap/>
              <w:overflowPunct/>
              <w:topLinePunct w:val="0"/>
              <w:autoSpaceDE/>
              <w:autoSpaceDN/>
              <w:bidi w:val="0"/>
              <w:adjustRightInd/>
              <w:snapToGrid/>
              <w:spacing w:line="280" w:lineRule="exact"/>
              <w:ind w:left="0" w:leftChars="0" w:firstLine="0" w:firstLineChars="0"/>
              <w:jc w:val="left"/>
              <w:textAlignment w:val="auto"/>
              <w:outlineLvl w:val="9"/>
              <w:rPr>
                <w:rFonts w:hint="default" w:ascii="Times New Roman" w:hAnsi="Times New Roman" w:cs="Times New Roman" w:eastAsiaTheme="minorEastAsia"/>
                <w:color w:val="000000"/>
                <w:kern w:val="0"/>
                <w:sz w:val="18"/>
                <w:szCs w:val="18"/>
                <w:lang w:eastAsia="zh-CN"/>
              </w:rPr>
            </w:pPr>
            <w:r>
              <w:rPr>
                <w:rStyle w:val="4"/>
                <w:rFonts w:hint="default" w:ascii="Times New Roman" w:hAnsi="Times New Roman" w:cs="Times New Roman" w:eastAsiaTheme="minorEastAsia"/>
                <w:color w:val="auto"/>
                <w:kern w:val="0"/>
                <w:sz w:val="18"/>
                <w:szCs w:val="18"/>
                <w:highlight w:val="none"/>
                <w:lang w:val="en-US" w:eastAsia="zh-CN" w:bidi="ar-SA"/>
              </w:rPr>
              <w:t>取消</w:t>
            </w:r>
          </w:p>
        </w:tc>
        <w:tc>
          <w:tcPr>
            <w:tcW w:w="219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baseline"/>
              <w:outlineLvl w:val="9"/>
              <w:rPr>
                <w:rFonts w:hint="default" w:ascii="Times New Roman" w:hAnsi="Times New Roman" w:cs="Times New Roman" w:eastAsiaTheme="minorEastAsia"/>
                <w:color w:val="000000"/>
                <w:kern w:val="0"/>
                <w:sz w:val="18"/>
                <w:szCs w:val="18"/>
              </w:rPr>
            </w:pPr>
            <w:r>
              <w:rPr>
                <w:rFonts w:hint="eastAsia" w:ascii="Times New Roman" w:hAnsi="Times New Roman" w:cs="Times New Roman" w:eastAsiaTheme="minorEastAsia"/>
                <w:color w:val="000000"/>
                <w:kern w:val="0"/>
                <w:sz w:val="18"/>
                <w:szCs w:val="18"/>
                <w:lang w:eastAsia="zh-CN"/>
              </w:rPr>
              <w:t>根据《安徽省财政厅关于加快推进省级财政 电子票据管理改</w:t>
            </w:r>
            <w:r>
              <w:rPr>
                <w:rFonts w:hint="eastAsia" w:ascii="Times New Roman" w:hAnsi="Times New Roman" w:cs="Times New Roman" w:eastAsiaTheme="minorEastAsia"/>
                <w:color w:val="000000"/>
                <w:kern w:val="0"/>
                <w:sz w:val="18"/>
                <w:szCs w:val="18"/>
              </w:rPr>
              <w:t>革的通知</w:t>
            </w:r>
          </w:p>
          <w:p>
            <w:pPr>
              <w:keepNext w:val="0"/>
              <w:keepLines w:val="0"/>
              <w:pageBreakBefore w:val="0"/>
              <w:widowControl/>
              <w:kinsoku/>
              <w:wordWrap/>
              <w:overflowPunct/>
              <w:topLinePunct w:val="0"/>
              <w:autoSpaceDE/>
              <w:autoSpaceDN/>
              <w:bidi w:val="0"/>
              <w:adjustRightInd/>
              <w:snapToGrid/>
              <w:spacing w:line="280" w:lineRule="exact"/>
              <w:jc w:val="left"/>
              <w:textAlignment w:val="baseline"/>
              <w:outlineLvl w:val="9"/>
              <w:rPr>
                <w:rFonts w:hint="eastAsia" w:ascii="Times New Roman" w:hAnsi="Times New Roman" w:cs="Times New Roman" w:eastAsiaTheme="minorEastAsia"/>
                <w:color w:val="000000"/>
                <w:kern w:val="0"/>
                <w:sz w:val="18"/>
                <w:szCs w:val="18"/>
                <w:lang w:eastAsia="zh-CN"/>
              </w:rPr>
            </w:pPr>
            <w:r>
              <w:rPr>
                <w:rFonts w:hint="eastAsia" w:ascii="Times New Roman" w:hAnsi="Times New Roman" w:cs="Times New Roman" w:eastAsiaTheme="minorEastAsia"/>
                <w:color w:val="000000"/>
                <w:kern w:val="0"/>
                <w:sz w:val="18"/>
                <w:szCs w:val="18"/>
                <w:lang w:eastAsia="zh-CN"/>
              </w:rPr>
              <w:t>》（</w:t>
            </w:r>
            <w:r>
              <w:rPr>
                <w:rFonts w:hint="eastAsia" w:ascii="Times New Roman" w:hAnsi="Times New Roman" w:cs="Times New Roman" w:eastAsiaTheme="minorEastAsia"/>
                <w:color w:val="000000"/>
                <w:kern w:val="0"/>
                <w:sz w:val="18"/>
                <w:szCs w:val="18"/>
              </w:rPr>
              <w:t>皖财非税〔2019〕1165号</w:t>
            </w:r>
            <w:r>
              <w:rPr>
                <w:rFonts w:hint="eastAsia" w:ascii="Times New Roman" w:hAnsi="Times New Roman" w:cs="Times New Roman" w:eastAsiaTheme="minorEastAsia"/>
                <w:color w:val="000000"/>
                <w:kern w:val="0"/>
                <w:sz w:val="18"/>
                <w:szCs w:val="18"/>
                <w:lang w:eastAsia="zh-CN"/>
              </w:rPr>
              <w:t>）、《</w:t>
            </w:r>
            <w:bookmarkStart w:id="0" w:name="strDocTitle"/>
            <w:r>
              <w:rPr>
                <w:rFonts w:hint="eastAsia" w:ascii="Times New Roman" w:hAnsi="Times New Roman" w:cs="Times New Roman" w:eastAsiaTheme="minorEastAsia"/>
                <w:color w:val="000000"/>
                <w:kern w:val="0"/>
                <w:sz w:val="18"/>
                <w:szCs w:val="18"/>
                <w:lang w:eastAsia="zh-CN"/>
              </w:rPr>
              <w:t>芜湖市财政局关于推进财政电子票据</w:t>
            </w:r>
          </w:p>
          <w:p>
            <w:pPr>
              <w:keepNext w:val="0"/>
              <w:keepLines w:val="0"/>
              <w:pageBreakBefore w:val="0"/>
              <w:widowControl/>
              <w:kinsoku/>
              <w:wordWrap/>
              <w:overflowPunct/>
              <w:topLinePunct w:val="0"/>
              <w:autoSpaceDE/>
              <w:autoSpaceDN/>
              <w:bidi w:val="0"/>
              <w:adjustRightInd/>
              <w:snapToGrid/>
              <w:spacing w:line="280" w:lineRule="exact"/>
              <w:jc w:val="left"/>
              <w:textAlignment w:val="baseline"/>
              <w:outlineLvl w:val="9"/>
              <w:rPr>
                <w:rFonts w:hint="eastAsia" w:ascii="Times New Roman" w:hAnsi="Times New Roman" w:eastAsia="仿宋_GB2312" w:cs="Times New Roman"/>
                <w:color w:val="000000"/>
                <w:kern w:val="0"/>
                <w:sz w:val="18"/>
                <w:szCs w:val="18"/>
                <w:lang w:eastAsia="zh-CN"/>
              </w:rPr>
            </w:pPr>
            <w:r>
              <w:rPr>
                <w:rFonts w:hint="eastAsia" w:ascii="Times New Roman" w:hAnsi="Times New Roman" w:cs="Times New Roman" w:eastAsiaTheme="minorEastAsia"/>
                <w:color w:val="000000"/>
                <w:kern w:val="0"/>
                <w:sz w:val="18"/>
                <w:szCs w:val="18"/>
                <w:lang w:eastAsia="zh-CN"/>
              </w:rPr>
              <w:t>管理改革的通知</w:t>
            </w:r>
            <w:bookmarkEnd w:id="0"/>
            <w:r>
              <w:rPr>
                <w:rFonts w:hint="eastAsia" w:ascii="Times New Roman" w:hAnsi="Times New Roman" w:cs="Times New Roman" w:eastAsiaTheme="minorEastAsia"/>
                <w:color w:val="000000"/>
                <w:kern w:val="0"/>
                <w:sz w:val="18"/>
                <w:szCs w:val="18"/>
                <w:lang w:eastAsia="zh-CN"/>
              </w:rPr>
              <w:t>》（财非税〔2020〕162号），财政电子票据系统自动生成含有单位和财政电子签名的财政电子票据，无需财政部门代开票据。</w:t>
            </w:r>
          </w:p>
        </w:tc>
        <w:tc>
          <w:tcPr>
            <w:tcW w:w="704"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18"/>
                <w:szCs w:val="18"/>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5" w:hRule="atLeast"/>
        </w:trPr>
        <w:tc>
          <w:tcPr>
            <w:tcW w:w="588" w:type="dxa"/>
            <w:noWrap w:val="0"/>
            <w:vAlign w:val="center"/>
          </w:tcPr>
          <w:p>
            <w:pPr>
              <w:keepNext w:val="0"/>
              <w:keepLines/>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color w:val="000000"/>
                <w:kern w:val="0"/>
                <w:sz w:val="18"/>
                <w:szCs w:val="18"/>
                <w:lang w:val="en-US" w:eastAsia="zh-CN"/>
              </w:rPr>
              <w:t>2</w:t>
            </w:r>
          </w:p>
        </w:tc>
        <w:tc>
          <w:tcPr>
            <w:tcW w:w="709" w:type="dxa"/>
            <w:noWrap w:val="0"/>
            <w:vAlign w:val="center"/>
          </w:tcPr>
          <w:p>
            <w:pPr>
              <w:widowControl/>
              <w:spacing w:line="240" w:lineRule="exact"/>
              <w:jc w:val="center"/>
              <w:textAlignment w:val="baseline"/>
              <w:rPr>
                <w:rStyle w:val="4"/>
                <w:rFonts w:hint="eastAsia" w:ascii="Times New Roman" w:hAnsi="Times New Roman" w:cs="Times New Roman"/>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公共服务</w:t>
            </w:r>
          </w:p>
        </w:tc>
        <w:tc>
          <w:tcPr>
            <w:tcW w:w="891" w:type="dxa"/>
            <w:noWrap w:val="0"/>
            <w:vAlign w:val="center"/>
          </w:tcPr>
          <w:p>
            <w:pPr>
              <w:widowControl/>
              <w:spacing w:line="240" w:lineRule="exact"/>
              <w:jc w:val="center"/>
              <w:textAlignment w:val="baseline"/>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eastAsiaTheme="minorEastAsia"/>
                <w:color w:val="000000"/>
                <w:kern w:val="0"/>
                <w:sz w:val="18"/>
                <w:szCs w:val="18"/>
                <w:lang w:eastAsia="zh-CN"/>
              </w:rPr>
              <w:t>会计人员继续教育服务</w:t>
            </w:r>
          </w:p>
        </w:tc>
        <w:tc>
          <w:tcPr>
            <w:tcW w:w="640" w:type="dxa"/>
            <w:noWrap w:val="0"/>
            <w:vAlign w:val="center"/>
          </w:tcPr>
          <w:p>
            <w:pPr>
              <w:widowControl/>
              <w:spacing w:line="240" w:lineRule="exact"/>
              <w:jc w:val="center"/>
              <w:textAlignment w:val="baseline"/>
              <w:rPr>
                <w:rStyle w:val="4"/>
                <w:rFonts w:hint="default" w:ascii="Times New Roman" w:hAnsi="Times New Roman" w:cs="Times New Roman" w:eastAsiaTheme="minorEastAsia"/>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无</w:t>
            </w:r>
          </w:p>
        </w:tc>
        <w:tc>
          <w:tcPr>
            <w:tcW w:w="5984" w:type="dxa"/>
            <w:noWrap w:val="0"/>
            <w:vAlign w:val="center"/>
          </w:tcPr>
          <w:p>
            <w:pPr>
              <w:widowControl/>
              <w:spacing w:line="240" w:lineRule="exact"/>
              <w:jc w:val="left"/>
              <w:textAlignment w:val="baseline"/>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 xml:space="preserve">《安徽省会计专业技术人员继续教育实施办法》(财会〔2019〕26号）第七条  省财政厅负责制定全省会计专业技术人员继续教育政策，会同省人力资源和社会保障厅监督指导全省会计专业技术人员继续教育工作的组织实施，省人力资源和社会保障厅负责对全省会计专业技术人员继续教育工作进行综合管理和统筹协调。 </w:t>
            </w:r>
          </w:p>
          <w:p>
            <w:pPr>
              <w:widowControl/>
              <w:spacing w:line="240" w:lineRule="exact"/>
              <w:jc w:val="left"/>
              <w:textAlignment w:val="baseline"/>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除本办法另有规定外，市、县（区）财政部门、人力资源和社会保障部门共同负责本地区会计专业技术人员继续教育工作。</w:t>
            </w:r>
          </w:p>
        </w:tc>
        <w:tc>
          <w:tcPr>
            <w:tcW w:w="2385" w:type="dxa"/>
            <w:noWrap w:val="0"/>
            <w:vAlign w:val="center"/>
          </w:tcPr>
          <w:p>
            <w:pPr>
              <w:keepNext w:val="0"/>
              <w:keepLines/>
              <w:pageBreakBefore w:val="0"/>
              <w:widowControl/>
              <w:suppressLineNumbers w:val="0"/>
              <w:shd w:val="clear" w:fill="FFFFFF"/>
              <w:kinsoku/>
              <w:wordWrap/>
              <w:overflowPunct/>
              <w:topLinePunct w:val="0"/>
              <w:autoSpaceDE/>
              <w:autoSpaceDN/>
              <w:bidi w:val="0"/>
              <w:adjustRightInd/>
              <w:snapToGrid/>
              <w:spacing w:line="280" w:lineRule="exact"/>
              <w:ind w:left="0" w:leftChars="0" w:firstLine="0" w:firstLineChars="0"/>
              <w:jc w:val="left"/>
              <w:textAlignment w:val="auto"/>
              <w:outlineLvl w:val="9"/>
              <w:rPr>
                <w:rStyle w:val="4"/>
                <w:rFonts w:hint="default" w:ascii="Times New Roman" w:hAnsi="Times New Roman" w:cs="Times New Roman" w:eastAsiaTheme="minorEastAsia"/>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增加</w:t>
            </w:r>
          </w:p>
        </w:tc>
        <w:tc>
          <w:tcPr>
            <w:tcW w:w="2191" w:type="dxa"/>
            <w:noWrap w:val="0"/>
            <w:vAlign w:val="center"/>
          </w:tcPr>
          <w:p>
            <w:pPr>
              <w:keepNext w:val="0"/>
              <w:keepLines/>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cs="Times New Roman" w:eastAsiaTheme="minorEastAsia"/>
                <w:color w:val="000000"/>
                <w:kern w:val="0"/>
                <w:sz w:val="18"/>
                <w:szCs w:val="18"/>
                <w:lang w:eastAsia="zh-CN"/>
              </w:rPr>
            </w:pPr>
            <w:r>
              <w:rPr>
                <w:rFonts w:hint="eastAsia" w:ascii="Times New Roman" w:hAnsi="Times New Roman" w:cs="Times New Roman"/>
                <w:color w:val="000000"/>
                <w:kern w:val="0"/>
                <w:sz w:val="18"/>
                <w:szCs w:val="18"/>
                <w:lang w:eastAsia="zh-CN"/>
              </w:rPr>
              <w:t>根据《全省公共服务清单指导目录》增加此事项。</w:t>
            </w:r>
          </w:p>
        </w:tc>
        <w:tc>
          <w:tcPr>
            <w:tcW w:w="704"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trPr>
        <w:tc>
          <w:tcPr>
            <w:tcW w:w="588" w:type="dxa"/>
            <w:noWrap w:val="0"/>
            <w:vAlign w:val="center"/>
          </w:tcPr>
          <w:p>
            <w:pPr>
              <w:keepNext w:val="0"/>
              <w:keepLines/>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3</w:t>
            </w:r>
          </w:p>
        </w:tc>
        <w:tc>
          <w:tcPr>
            <w:tcW w:w="709" w:type="dxa"/>
            <w:noWrap w:val="0"/>
            <w:vAlign w:val="center"/>
          </w:tcPr>
          <w:p>
            <w:pPr>
              <w:widowControl/>
              <w:spacing w:line="240" w:lineRule="exact"/>
              <w:jc w:val="center"/>
              <w:textAlignment w:val="baseline"/>
              <w:rPr>
                <w:rStyle w:val="4"/>
                <w:rFonts w:hint="eastAsia" w:ascii="Times New Roman" w:hAnsi="Times New Roman" w:cs="Times New Roman"/>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公共服务</w:t>
            </w:r>
          </w:p>
        </w:tc>
        <w:tc>
          <w:tcPr>
            <w:tcW w:w="891" w:type="dxa"/>
            <w:noWrap w:val="0"/>
            <w:vAlign w:val="center"/>
          </w:tcPr>
          <w:p>
            <w:pPr>
              <w:widowControl/>
              <w:spacing w:line="240" w:lineRule="exact"/>
              <w:jc w:val="center"/>
              <w:textAlignment w:val="baseline"/>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eastAsiaTheme="minorEastAsia"/>
                <w:color w:val="000000"/>
                <w:kern w:val="0"/>
                <w:sz w:val="18"/>
                <w:szCs w:val="18"/>
                <w:lang w:eastAsia="zh-CN"/>
              </w:rPr>
              <w:t>政策性农业保险服务</w:t>
            </w:r>
          </w:p>
        </w:tc>
        <w:tc>
          <w:tcPr>
            <w:tcW w:w="640" w:type="dxa"/>
            <w:noWrap w:val="0"/>
            <w:vAlign w:val="center"/>
          </w:tcPr>
          <w:p>
            <w:pPr>
              <w:widowControl/>
              <w:spacing w:line="240" w:lineRule="exact"/>
              <w:jc w:val="center"/>
              <w:textAlignment w:val="baseline"/>
              <w:rPr>
                <w:rStyle w:val="4"/>
                <w:rFonts w:hint="eastAsia" w:ascii="Times New Roman" w:hAnsi="Times New Roman" w:cs="Times New Roman"/>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无</w:t>
            </w:r>
          </w:p>
        </w:tc>
        <w:tc>
          <w:tcPr>
            <w:tcW w:w="5984" w:type="dxa"/>
            <w:noWrap w:val="0"/>
            <w:vAlign w:val="center"/>
          </w:tcPr>
          <w:p>
            <w:pPr>
              <w:widowControl/>
              <w:spacing w:line="240" w:lineRule="exact"/>
              <w:jc w:val="left"/>
              <w:textAlignment w:val="baseline"/>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农业保险条例》（国务院令第629号）、《安徽省人民政府关于开展政策性农业保险试点工作的实施意见》（皖政〔2008〕42号）：（二）基本原则。4．协同推进。各级政府和财政、农业、保监、宣传、水利、气象、民政等部门，应协力推进试点工作，并对保险经办机构的承保、查勘、定损、理赔、防灾防损等各项工作给予积极支持。</w:t>
            </w:r>
          </w:p>
        </w:tc>
        <w:tc>
          <w:tcPr>
            <w:tcW w:w="2385" w:type="dxa"/>
            <w:noWrap w:val="0"/>
            <w:vAlign w:val="center"/>
          </w:tcPr>
          <w:p>
            <w:pPr>
              <w:keepNext w:val="0"/>
              <w:keepLines/>
              <w:pageBreakBefore w:val="0"/>
              <w:widowControl/>
              <w:suppressLineNumbers w:val="0"/>
              <w:shd w:val="clear" w:fill="FFFFFF"/>
              <w:kinsoku/>
              <w:wordWrap/>
              <w:overflowPunct/>
              <w:topLinePunct w:val="0"/>
              <w:autoSpaceDE/>
              <w:autoSpaceDN/>
              <w:bidi w:val="0"/>
              <w:adjustRightInd/>
              <w:snapToGrid/>
              <w:spacing w:line="280" w:lineRule="exact"/>
              <w:ind w:left="0" w:leftChars="0" w:firstLine="0" w:firstLineChars="0"/>
              <w:jc w:val="left"/>
              <w:textAlignment w:val="auto"/>
              <w:outlineLvl w:val="9"/>
              <w:rPr>
                <w:rStyle w:val="4"/>
                <w:rFonts w:hint="eastAsia" w:ascii="Times New Roman" w:hAnsi="Times New Roman" w:cs="Times New Roman"/>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实施机构调整为：市财政局、市农业农村局、市气象局、市民政局、市自然资源和规划局、市金融局、市扶贫办、市银保监分局、市委宣传部、国元农业保险股份有限公司芜湖中心支公司、人保财险芜湖市分公司、中国人寿财产保险有限公司芜湖市中心分公司、中国太平洋财产保险股份有限公司芜湖中心支公司</w:t>
            </w:r>
          </w:p>
        </w:tc>
        <w:tc>
          <w:tcPr>
            <w:tcW w:w="2191" w:type="dxa"/>
            <w:noWrap w:val="0"/>
            <w:vAlign w:val="center"/>
          </w:tcPr>
          <w:p>
            <w:pPr>
              <w:keepNext w:val="0"/>
              <w:keepLines/>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cs="Times New Roman"/>
                <w:color w:val="000000"/>
                <w:kern w:val="0"/>
                <w:sz w:val="18"/>
                <w:szCs w:val="18"/>
                <w:lang w:eastAsia="zh-CN"/>
              </w:rPr>
            </w:pPr>
            <w:r>
              <w:rPr>
                <w:rFonts w:hint="eastAsia" w:ascii="Times New Roman" w:hAnsi="Times New Roman" w:cs="Times New Roman"/>
                <w:color w:val="000000"/>
                <w:kern w:val="0"/>
                <w:sz w:val="18"/>
                <w:szCs w:val="18"/>
                <w:lang w:eastAsia="zh-CN"/>
              </w:rPr>
              <w:t>2019年起，太平洋保险在我市开展了水稻制种保险，实施机构增加相关职能部门。</w:t>
            </w:r>
          </w:p>
        </w:tc>
        <w:tc>
          <w:tcPr>
            <w:tcW w:w="704"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trPr>
        <w:tc>
          <w:tcPr>
            <w:tcW w:w="588" w:type="dxa"/>
            <w:noWrap w:val="0"/>
            <w:vAlign w:val="center"/>
          </w:tcPr>
          <w:p>
            <w:pPr>
              <w:keepNext w:val="0"/>
              <w:keepLines/>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4</w:t>
            </w:r>
          </w:p>
        </w:tc>
        <w:tc>
          <w:tcPr>
            <w:tcW w:w="709" w:type="dxa"/>
            <w:noWrap w:val="0"/>
            <w:vAlign w:val="center"/>
          </w:tcPr>
          <w:p>
            <w:pPr>
              <w:widowControl/>
              <w:spacing w:line="240" w:lineRule="exact"/>
              <w:jc w:val="center"/>
              <w:textAlignment w:val="baseline"/>
              <w:rPr>
                <w:rStyle w:val="4"/>
                <w:rFonts w:hint="eastAsia" w:ascii="Times New Roman" w:hAnsi="Times New Roman" w:cs="Times New Roman"/>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公共服务</w:t>
            </w:r>
          </w:p>
        </w:tc>
        <w:tc>
          <w:tcPr>
            <w:tcW w:w="891" w:type="dxa"/>
            <w:noWrap w:val="0"/>
            <w:vAlign w:val="center"/>
          </w:tcPr>
          <w:p>
            <w:pPr>
              <w:widowControl/>
              <w:spacing w:line="240" w:lineRule="exact"/>
              <w:jc w:val="center"/>
              <w:textAlignment w:val="baseline"/>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eastAsiaTheme="minorEastAsia"/>
                <w:color w:val="000000"/>
                <w:kern w:val="0"/>
                <w:sz w:val="18"/>
                <w:szCs w:val="18"/>
                <w:lang w:eastAsia="zh-CN"/>
              </w:rPr>
              <w:t>政府购买服务项目目录发布</w:t>
            </w:r>
          </w:p>
        </w:tc>
        <w:tc>
          <w:tcPr>
            <w:tcW w:w="640" w:type="dxa"/>
            <w:noWrap w:val="0"/>
            <w:vAlign w:val="center"/>
          </w:tcPr>
          <w:p>
            <w:pPr>
              <w:widowControl/>
              <w:spacing w:line="240" w:lineRule="exact"/>
              <w:jc w:val="center"/>
              <w:textAlignment w:val="baseline"/>
              <w:rPr>
                <w:rStyle w:val="4"/>
                <w:rFonts w:hint="eastAsia" w:ascii="Times New Roman" w:hAnsi="Times New Roman" w:cs="Times New Roman"/>
                <w:color w:val="auto"/>
                <w:kern w:val="0"/>
                <w:sz w:val="18"/>
                <w:szCs w:val="18"/>
                <w:highlight w:val="none"/>
                <w:lang w:val="en-US" w:eastAsia="zh-CN" w:bidi="ar-SA"/>
              </w:rPr>
            </w:pPr>
            <w:r>
              <w:rPr>
                <w:rStyle w:val="4"/>
                <w:rFonts w:hint="eastAsia" w:ascii="Times New Roman" w:hAnsi="Times New Roman" w:cs="Times New Roman"/>
                <w:color w:val="auto"/>
                <w:kern w:val="0"/>
                <w:sz w:val="18"/>
                <w:szCs w:val="18"/>
                <w:highlight w:val="none"/>
                <w:lang w:val="en-US" w:eastAsia="zh-CN" w:bidi="ar-SA"/>
              </w:rPr>
              <w:t>无</w:t>
            </w:r>
          </w:p>
        </w:tc>
        <w:tc>
          <w:tcPr>
            <w:tcW w:w="5984" w:type="dxa"/>
            <w:noWrap w:val="0"/>
            <w:vAlign w:val="center"/>
          </w:tcPr>
          <w:p>
            <w:pPr>
              <w:widowControl/>
              <w:spacing w:line="240" w:lineRule="exact"/>
              <w:jc w:val="left"/>
              <w:textAlignment w:val="baseline"/>
              <w:rPr>
                <w:rFonts w:hint="eastAsia" w:ascii="Times New Roman" w:hAnsi="Times New Roman" w:eastAsia="仿宋" w:cs="Times New Roman"/>
                <w:color w:val="000000"/>
                <w:kern w:val="0"/>
                <w:sz w:val="18"/>
                <w:szCs w:val="18"/>
                <w:lang w:eastAsia="zh-CN"/>
              </w:rPr>
            </w:pPr>
            <w:r>
              <w:rPr>
                <w:rFonts w:hint="eastAsia" w:ascii="Times New Roman" w:hAnsi="Times New Roman" w:cs="Times New Roman" w:eastAsiaTheme="minorEastAsia"/>
                <w:color w:val="000000"/>
                <w:kern w:val="0"/>
                <w:sz w:val="18"/>
                <w:szCs w:val="18"/>
              </w:rPr>
              <w:t>《政府购买服务管理办法》</w:t>
            </w:r>
            <w:r>
              <w:rPr>
                <w:rFonts w:hint="eastAsia" w:ascii="Times New Roman" w:hAnsi="Times New Roman" w:cs="Times New Roman" w:eastAsiaTheme="minorEastAsia"/>
                <w:color w:val="000000"/>
                <w:kern w:val="0"/>
                <w:sz w:val="18"/>
                <w:szCs w:val="18"/>
                <w:lang w:eastAsia="zh-CN"/>
              </w:rPr>
              <w:t>（</w:t>
            </w:r>
            <w:r>
              <w:rPr>
                <w:rFonts w:hint="eastAsia" w:ascii="Times New Roman" w:hAnsi="Times New Roman" w:cs="Times New Roman" w:eastAsiaTheme="minorEastAsia"/>
                <w:color w:val="000000"/>
                <w:kern w:val="0"/>
                <w:sz w:val="18"/>
                <w:szCs w:val="18"/>
              </w:rPr>
              <w:t>财政部令第102号</w:t>
            </w:r>
            <w:r>
              <w:rPr>
                <w:rFonts w:hint="eastAsia" w:ascii="Times New Roman" w:hAnsi="Times New Roman" w:cs="Times New Roman" w:eastAsiaTheme="minorEastAsia"/>
                <w:color w:val="000000"/>
                <w:kern w:val="0"/>
                <w:sz w:val="18"/>
                <w:szCs w:val="18"/>
                <w:lang w:eastAsia="zh-CN"/>
              </w:rPr>
              <w:t>，</w:t>
            </w:r>
            <w:r>
              <w:rPr>
                <w:rFonts w:hint="eastAsia" w:ascii="Times New Roman" w:hAnsi="Times New Roman" w:cs="Times New Roman" w:eastAsiaTheme="minorEastAsia"/>
                <w:color w:val="000000"/>
                <w:kern w:val="0"/>
                <w:sz w:val="18"/>
                <w:szCs w:val="18"/>
                <w:lang w:val="en-US" w:eastAsia="zh-CN"/>
              </w:rPr>
              <w:t>2020年3月1日施行</w:t>
            </w:r>
            <w:r>
              <w:rPr>
                <w:rFonts w:hint="eastAsia" w:ascii="Times New Roman" w:hAnsi="Times New Roman" w:cs="Times New Roman" w:eastAsiaTheme="minorEastAsia"/>
                <w:color w:val="000000"/>
                <w:kern w:val="0"/>
                <w:sz w:val="18"/>
                <w:szCs w:val="18"/>
                <w:lang w:eastAsia="zh-CN"/>
              </w:rPr>
              <w:t>）</w:t>
            </w:r>
            <w:r>
              <w:rPr>
                <w:rFonts w:hint="eastAsia" w:ascii="Times New Roman" w:hAnsi="Times New Roman" w:cs="Times New Roman" w:eastAsiaTheme="minorEastAsia"/>
                <w:color w:val="000000"/>
                <w:kern w:val="0"/>
                <w:sz w:val="18"/>
                <w:szCs w:val="18"/>
              </w:rPr>
              <w:t>第十一条</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eastAsiaTheme="minorEastAsia"/>
                <w:color w:val="000000"/>
                <w:kern w:val="0"/>
                <w:sz w:val="18"/>
                <w:szCs w:val="18"/>
              </w:rPr>
              <w:t>政府购买服务的具体范围和内容实行指导性目录管理，指导性目录依法予以公开。</w:t>
            </w:r>
          </w:p>
        </w:tc>
        <w:tc>
          <w:tcPr>
            <w:tcW w:w="2385" w:type="dxa"/>
            <w:noWrap w:val="0"/>
            <w:vAlign w:val="center"/>
          </w:tcPr>
          <w:p>
            <w:pPr>
              <w:keepNext w:val="0"/>
              <w:keepLines/>
              <w:pageBreakBefore w:val="0"/>
              <w:widowControl/>
              <w:suppressLineNumbers w:val="0"/>
              <w:shd w:val="clear" w:fill="FFFFFF"/>
              <w:kinsoku/>
              <w:wordWrap/>
              <w:overflowPunct/>
              <w:topLinePunct w:val="0"/>
              <w:autoSpaceDE/>
              <w:autoSpaceDN/>
              <w:bidi w:val="0"/>
              <w:adjustRightInd/>
              <w:snapToGrid/>
              <w:spacing w:line="280" w:lineRule="exact"/>
              <w:ind w:left="0" w:leftChars="0" w:firstLine="0" w:firstLineChars="0"/>
              <w:jc w:val="left"/>
              <w:textAlignment w:val="auto"/>
              <w:outlineLvl w:val="9"/>
              <w:rPr>
                <w:rStyle w:val="4"/>
                <w:rFonts w:hint="default" w:ascii="Times New Roman" w:hAnsi="Times New Roman" w:cs="Times New Roman"/>
                <w:color w:val="auto"/>
                <w:kern w:val="0"/>
                <w:sz w:val="18"/>
                <w:szCs w:val="18"/>
                <w:highlight w:val="none"/>
                <w:lang w:val="en-US" w:eastAsia="zh-CN" w:bidi="ar-SA"/>
              </w:rPr>
            </w:pPr>
            <w:r>
              <w:rPr>
                <w:rStyle w:val="4"/>
                <w:rFonts w:hint="default" w:ascii="Times New Roman" w:hAnsi="Times New Roman" w:cs="Times New Roman"/>
                <w:color w:val="auto"/>
                <w:kern w:val="0"/>
                <w:sz w:val="18"/>
                <w:szCs w:val="18"/>
                <w:highlight w:val="none"/>
                <w:lang w:val="en-US" w:eastAsia="zh-CN" w:bidi="ar-SA"/>
              </w:rPr>
              <w:t>1.事项名称调整为：</w:t>
            </w:r>
            <w:r>
              <w:rPr>
                <w:rStyle w:val="4"/>
                <w:rFonts w:hint="eastAsia" w:ascii="Times New Roman" w:hAnsi="Times New Roman" w:cs="Times New Roman"/>
                <w:color w:val="auto"/>
                <w:kern w:val="0"/>
                <w:sz w:val="18"/>
                <w:szCs w:val="18"/>
                <w:highlight w:val="none"/>
                <w:lang w:val="en-US" w:eastAsia="zh-CN" w:bidi="ar-SA"/>
              </w:rPr>
              <w:t>市级政府购买服务指导性目录公布</w:t>
            </w:r>
            <w:r>
              <w:rPr>
                <w:rStyle w:val="4"/>
                <w:rFonts w:hint="default" w:ascii="Times New Roman" w:hAnsi="Times New Roman" w:cs="Times New Roman"/>
                <w:color w:val="auto"/>
                <w:kern w:val="0"/>
                <w:sz w:val="18"/>
                <w:szCs w:val="18"/>
                <w:highlight w:val="none"/>
                <w:lang w:val="en-US" w:eastAsia="zh-CN" w:bidi="ar-SA"/>
              </w:rPr>
              <w:t>；</w:t>
            </w:r>
          </w:p>
          <w:p>
            <w:pPr>
              <w:keepNext w:val="0"/>
              <w:keepLines/>
              <w:pageBreakBefore w:val="0"/>
              <w:widowControl/>
              <w:suppressLineNumbers w:val="0"/>
              <w:shd w:val="clear" w:fill="FFFFFF"/>
              <w:kinsoku/>
              <w:wordWrap/>
              <w:overflowPunct/>
              <w:topLinePunct w:val="0"/>
              <w:autoSpaceDE/>
              <w:autoSpaceDN/>
              <w:bidi w:val="0"/>
              <w:adjustRightInd/>
              <w:snapToGrid/>
              <w:spacing w:line="280" w:lineRule="exact"/>
              <w:ind w:left="0" w:leftChars="0" w:firstLine="0" w:firstLineChars="0"/>
              <w:jc w:val="left"/>
              <w:textAlignment w:val="auto"/>
              <w:outlineLvl w:val="9"/>
              <w:rPr>
                <w:rStyle w:val="4"/>
                <w:rFonts w:hint="eastAsia" w:ascii="Times New Roman" w:hAnsi="Times New Roman" w:cs="Times New Roman"/>
                <w:color w:val="auto"/>
                <w:kern w:val="0"/>
                <w:sz w:val="18"/>
                <w:szCs w:val="18"/>
                <w:highlight w:val="none"/>
                <w:lang w:val="en-US" w:eastAsia="zh-CN" w:bidi="ar-SA"/>
              </w:rPr>
            </w:pPr>
            <w:r>
              <w:rPr>
                <w:rStyle w:val="4"/>
                <w:rFonts w:hint="default" w:ascii="Times New Roman" w:hAnsi="Times New Roman" w:cs="Times New Roman"/>
                <w:color w:val="auto"/>
                <w:kern w:val="0"/>
                <w:sz w:val="18"/>
                <w:szCs w:val="18"/>
                <w:highlight w:val="none"/>
                <w:lang w:val="en-US" w:eastAsia="zh-CN" w:bidi="ar-SA"/>
              </w:rPr>
              <w:t>2.</w:t>
            </w:r>
            <w:r>
              <w:rPr>
                <w:rStyle w:val="4"/>
                <w:rFonts w:hint="eastAsia" w:ascii="Times New Roman" w:hAnsi="Times New Roman" w:cs="Times New Roman"/>
                <w:color w:val="auto"/>
                <w:kern w:val="0"/>
                <w:sz w:val="18"/>
                <w:szCs w:val="18"/>
                <w:highlight w:val="none"/>
                <w:lang w:val="en-US" w:eastAsia="zh-CN" w:bidi="ar-SA"/>
              </w:rPr>
              <w:t>规范</w:t>
            </w:r>
            <w:r>
              <w:rPr>
                <w:rStyle w:val="4"/>
                <w:rFonts w:hint="default" w:ascii="Times New Roman" w:hAnsi="Times New Roman" w:cs="Times New Roman"/>
                <w:color w:val="auto"/>
                <w:kern w:val="0"/>
                <w:sz w:val="18"/>
                <w:szCs w:val="18"/>
                <w:highlight w:val="none"/>
                <w:lang w:val="en-US" w:eastAsia="zh-CN" w:bidi="ar-SA"/>
              </w:rPr>
              <w:t>实施依据</w:t>
            </w:r>
            <w:r>
              <w:rPr>
                <w:rStyle w:val="4"/>
                <w:rFonts w:hint="eastAsia" w:ascii="Times New Roman" w:hAnsi="Times New Roman" w:cs="Times New Roman"/>
                <w:color w:val="auto"/>
                <w:kern w:val="0"/>
                <w:sz w:val="18"/>
                <w:szCs w:val="18"/>
                <w:highlight w:val="none"/>
                <w:lang w:val="en-US" w:eastAsia="zh-CN" w:bidi="ar-SA"/>
              </w:rPr>
              <w:t>。</w:t>
            </w:r>
          </w:p>
          <w:p>
            <w:pPr>
              <w:keepNext w:val="0"/>
              <w:keepLines/>
              <w:pageBreakBefore w:val="0"/>
              <w:widowControl/>
              <w:suppressLineNumbers w:val="0"/>
              <w:shd w:val="clear" w:fill="FFFFFF"/>
              <w:kinsoku/>
              <w:wordWrap/>
              <w:overflowPunct/>
              <w:topLinePunct w:val="0"/>
              <w:autoSpaceDE/>
              <w:autoSpaceDN/>
              <w:bidi w:val="0"/>
              <w:adjustRightInd/>
              <w:snapToGrid/>
              <w:spacing w:line="280" w:lineRule="exact"/>
              <w:ind w:left="0" w:leftChars="0" w:firstLine="0" w:firstLineChars="0"/>
              <w:jc w:val="left"/>
              <w:textAlignment w:val="auto"/>
              <w:outlineLvl w:val="9"/>
              <w:rPr>
                <w:rStyle w:val="4"/>
                <w:rFonts w:hint="eastAsia" w:ascii="Times New Roman" w:hAnsi="Times New Roman" w:cs="Times New Roman"/>
                <w:color w:val="auto"/>
                <w:kern w:val="0"/>
                <w:sz w:val="18"/>
                <w:szCs w:val="18"/>
                <w:highlight w:val="none"/>
                <w:lang w:val="en-US" w:eastAsia="zh-CN" w:bidi="ar-SA"/>
              </w:rPr>
            </w:pPr>
          </w:p>
        </w:tc>
        <w:tc>
          <w:tcPr>
            <w:tcW w:w="2191" w:type="dxa"/>
            <w:noWrap w:val="0"/>
            <w:vAlign w:val="center"/>
          </w:tcPr>
          <w:p>
            <w:pPr>
              <w:keepNext w:val="0"/>
              <w:keepLines/>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cs="Times New Roman"/>
                <w:color w:val="000000"/>
                <w:kern w:val="0"/>
                <w:sz w:val="18"/>
                <w:szCs w:val="18"/>
                <w:lang w:eastAsia="zh-CN"/>
              </w:rPr>
            </w:pPr>
            <w:r>
              <w:rPr>
                <w:rFonts w:hint="eastAsia" w:ascii="宋体" w:hAnsi="宋体" w:eastAsia="宋体" w:cs="宋体"/>
                <w:i w:val="0"/>
                <w:color w:val="auto"/>
                <w:kern w:val="0"/>
                <w:sz w:val="18"/>
                <w:szCs w:val="18"/>
                <w:highlight w:val="none"/>
                <w:u w:val="none"/>
                <w:lang w:val="en-US" w:eastAsia="zh-CN" w:bidi="ar"/>
              </w:rPr>
              <w:t>根据《全省公共服务清单指导目录》，规范事项名称及实施依据。</w:t>
            </w:r>
          </w:p>
        </w:tc>
        <w:tc>
          <w:tcPr>
            <w:tcW w:w="704" w:type="dxa"/>
            <w:noWrap w:val="0"/>
            <w:vAlign w:val="center"/>
          </w:tcPr>
          <w:p>
            <w:pPr>
              <w:keepNext w:val="0"/>
              <w:keepLines/>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C5EC4"/>
    <w:rsid w:val="02BB5E98"/>
    <w:rsid w:val="042C2E38"/>
    <w:rsid w:val="0797035C"/>
    <w:rsid w:val="0B733382"/>
    <w:rsid w:val="0BAF42ED"/>
    <w:rsid w:val="0D763C84"/>
    <w:rsid w:val="0E227419"/>
    <w:rsid w:val="0EB65E5D"/>
    <w:rsid w:val="12D534F7"/>
    <w:rsid w:val="19812F92"/>
    <w:rsid w:val="19B06DCC"/>
    <w:rsid w:val="1A3A1EC6"/>
    <w:rsid w:val="218A2CD5"/>
    <w:rsid w:val="228843A2"/>
    <w:rsid w:val="28A07810"/>
    <w:rsid w:val="2A5F6F66"/>
    <w:rsid w:val="2A931A63"/>
    <w:rsid w:val="2AEE2194"/>
    <w:rsid w:val="2BF901DE"/>
    <w:rsid w:val="2E3F3DF3"/>
    <w:rsid w:val="331721BE"/>
    <w:rsid w:val="34AA049D"/>
    <w:rsid w:val="3B2F443C"/>
    <w:rsid w:val="3B700FC2"/>
    <w:rsid w:val="40A072B6"/>
    <w:rsid w:val="415D1DEC"/>
    <w:rsid w:val="48031418"/>
    <w:rsid w:val="4AB86872"/>
    <w:rsid w:val="4E6C6F25"/>
    <w:rsid w:val="4EE27821"/>
    <w:rsid w:val="52705F84"/>
    <w:rsid w:val="54B56858"/>
    <w:rsid w:val="574D5388"/>
    <w:rsid w:val="5B1C6EFF"/>
    <w:rsid w:val="61556719"/>
    <w:rsid w:val="615C6ABA"/>
    <w:rsid w:val="638C174B"/>
    <w:rsid w:val="64D93D9A"/>
    <w:rsid w:val="65C3107D"/>
    <w:rsid w:val="67A71BDF"/>
    <w:rsid w:val="67CE54EE"/>
    <w:rsid w:val="6E1C5EC4"/>
    <w:rsid w:val="719D050A"/>
    <w:rsid w:val="72582B5F"/>
    <w:rsid w:val="741E030C"/>
    <w:rsid w:val="765A4CAB"/>
    <w:rsid w:val="76EC749E"/>
    <w:rsid w:val="77B83687"/>
    <w:rsid w:val="77DE31C0"/>
    <w:rsid w:val="78A13E40"/>
    <w:rsid w:val="7B087065"/>
    <w:rsid w:val="7E2C66AE"/>
    <w:rsid w:val="7FD30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2020-08-24T03:09:00Z</dcterms:created>
  <dc:creator>Administrator</dc:creator>
  <cp:lastModifiedBy>Administrator</cp:lastModifiedBy>
  <cp:lastPrinted>2020-08-27T07:05:00Z</cp:lastPrinted>
  <dcterms:modified xsi:type="dcterms:W3CDTF">2020-08-29T03:51:33Z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